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C9" w:rsidRPr="00B301B5" w:rsidRDefault="00B301B5" w:rsidP="00B301B5">
      <w:pPr>
        <w:rPr>
          <w:sz w:val="36"/>
          <w:szCs w:val="36"/>
        </w:rPr>
      </w:pPr>
      <w:r w:rsidRPr="00B301B5">
        <w:rPr>
          <w:sz w:val="36"/>
          <w:szCs w:val="36"/>
        </w:rPr>
        <w:t>Graphic software It is part of the teacher’s professional toolbox. In other words, it is among the resources that teachers use to help facilitate student learning.</w:t>
      </w:r>
      <w:bookmarkStart w:id="0" w:name="_GoBack"/>
      <w:bookmarkEnd w:id="0"/>
    </w:p>
    <w:sectPr w:rsidR="00837CC9" w:rsidRPr="00B30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E3"/>
    <w:rsid w:val="004B6C33"/>
    <w:rsid w:val="006119E3"/>
    <w:rsid w:val="007A70C4"/>
    <w:rsid w:val="00B3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C4F2"/>
  <w15:chartTrackingRefBased/>
  <w15:docId w15:val="{D93D0CF6-7CF9-4D2B-A879-68B44B82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Rwanda MINEDUC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2017-12-12T09:37:00Z</dcterms:created>
  <dcterms:modified xsi:type="dcterms:W3CDTF">2017-12-12T09:39:00Z</dcterms:modified>
</cp:coreProperties>
</file>